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spacing w:before="0" w:beforeLines="0" w:beforeAutospacing="0" w:after="0" w:afterLines="0" w:afterAutospacing="0" w:line="500" w:lineRule="exact"/>
        <w:textAlignment w:val="baseline"/>
        <w:rPr>
          <w:rFonts w:hint="default" w:ascii="游ゴシック" w:hAnsi="游ゴシック" w:eastAsia="游ゴシック"/>
          <w:sz w:val="24"/>
        </w:rPr>
      </w:pPr>
      <w:r>
        <w:rPr>
          <w:rStyle w:val="16"/>
          <w:rFonts w:hint="eastAsia" w:ascii="游ゴシック" w:hAnsi="游ゴシック" w:eastAsia="游ゴシック"/>
          <w:b w:val="1"/>
          <w:sz w:val="36"/>
          <w:highlight w:val="darkBlue"/>
        </w:rPr>
        <w:t>.</w:t>
      </w:r>
      <w:r>
        <w:rPr>
          <w:rStyle w:val="16"/>
          <w:rFonts w:hint="eastAsia" w:ascii="游ゴシック" w:hAnsi="游ゴシック" w:eastAsia="游ゴシック"/>
          <w:b w:val="1"/>
          <w:color w:val="FFFFFF" w:themeColor="background1"/>
          <w:sz w:val="40"/>
          <w:highlight w:val="darkBlue"/>
        </w:rPr>
        <w:t>令和８年度</w:t>
      </w:r>
      <w:r>
        <w:rPr>
          <w:rStyle w:val="16"/>
          <w:rFonts w:hint="eastAsia" w:ascii="游ゴシック" w:hAnsi="游ゴシック" w:eastAsia="游ゴシック"/>
          <w:b w:val="1"/>
          <w:color w:val="FFFFFF" w:themeColor="background1"/>
          <w:sz w:val="40"/>
          <w:highlight w:val="darkBlue"/>
        </w:rPr>
        <w:t xml:space="preserve"> </w:t>
      </w:r>
      <w:r>
        <w:rPr>
          <w:rStyle w:val="16"/>
          <w:rFonts w:hint="eastAsia" w:ascii="游ゴシック" w:hAnsi="游ゴシック" w:eastAsia="游ゴシック"/>
          <w:b w:val="1"/>
          <w:color w:val="FFFFFF" w:themeColor="background1"/>
          <w:sz w:val="40"/>
          <w:highlight w:val="darkBlue"/>
        </w:rPr>
        <w:t>精華町公共的活動総合補償制度のご案内</w:t>
      </w:r>
      <w:r>
        <w:rPr>
          <w:rStyle w:val="16"/>
          <w:rFonts w:hint="eastAsia" w:ascii="游ゴシック" w:hAnsi="游ゴシック" w:eastAsia="游ゴシック"/>
          <w:b w:val="1"/>
          <w:color w:val="FFFFFF" w:themeColor="background1"/>
          <w:sz w:val="40"/>
          <w:highlight w:val="darkBlue"/>
        </w:rPr>
        <w:t xml:space="preserve"> </w:t>
      </w:r>
      <w:r>
        <w:rPr>
          <w:rStyle w:val="16"/>
          <w:rFonts w:hint="default" w:ascii="游ゴシック" w:hAnsi="游ゴシック" w:eastAsia="游ゴシック"/>
          <w:sz w:val="40"/>
          <w:highlight w:val="darkBlue"/>
        </w:rPr>
        <w:t>.</w:t>
      </w:r>
    </w:p>
    <w:p>
      <w:pPr>
        <w:pStyle w:val="15"/>
        <w:spacing w:before="0" w:beforeLines="0" w:beforeAutospacing="0" w:after="0" w:afterLines="0" w:afterAutospacing="0" w:line="380" w:lineRule="exact"/>
        <w:textAlignment w:val="baseline"/>
        <w:rPr>
          <w:rFonts w:hint="default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sz w:val="24"/>
        </w:rPr>
        <w:t>　本制度は、精華町内で、ボランティア活動や地域活動を行う皆さまが、安心して活動を行えるよう、一定の条件を満たす場合、活動中の事故により生じた損害を補償するものです。</w:t>
      </w:r>
    </w:p>
    <w:p>
      <w:pPr>
        <w:pStyle w:val="15"/>
        <w:spacing w:before="0" w:beforeLines="0" w:beforeAutospacing="0" w:after="0" w:afterLines="0" w:afterAutospacing="0" w:line="380" w:lineRule="exact"/>
        <w:textAlignment w:val="baseline"/>
        <w:rPr>
          <w:rFonts w:hint="default" w:ascii="游ゴシック" w:hAnsi="游ゴシック" w:eastAsia="游ゴシック"/>
          <w:sz w:val="24"/>
        </w:rPr>
      </w:pPr>
    </w:p>
    <w:p>
      <w:pPr>
        <w:pStyle w:val="15"/>
        <w:spacing w:before="0" w:beforeLines="0" w:beforeAutospacing="0" w:after="0" w:afterLines="0" w:afterAutospacing="0" w:line="380" w:lineRule="exact"/>
        <w:textAlignment w:val="baseline"/>
        <w:rPr>
          <w:rFonts w:hint="default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b w:val="1"/>
          <w:sz w:val="24"/>
          <w:u w:val="single" w:color="auto"/>
        </w:rPr>
        <w:t>１　本制度の特徴</w:t>
      </w:r>
    </w:p>
    <w:p>
      <w:pPr>
        <w:pStyle w:val="15"/>
        <w:spacing w:before="0" w:beforeLines="0" w:beforeAutospacing="0" w:after="0" w:afterLines="0" w:afterAutospacing="0" w:line="380" w:lineRule="exact"/>
        <w:ind w:leftChars="0" w:firstLine="0" w:firstLineChars="0"/>
        <w:textAlignment w:val="baseline"/>
        <w:rPr>
          <w:rFonts w:hint="default" w:ascii="游ゴシック" w:hAnsi="游ゴシック" w:eastAsia="游ゴシック"/>
          <w:b w:val="1"/>
          <w:sz w:val="24"/>
        </w:rPr>
      </w:pPr>
      <w:r>
        <w:rPr>
          <w:rFonts w:hint="eastAsia" w:ascii="游ゴシック" w:hAnsi="游ゴシック" w:eastAsia="游ゴシック"/>
          <w:b w:val="1"/>
          <w:sz w:val="24"/>
        </w:rPr>
        <w:t>（１）保険料は、精華町が負担します。</w:t>
      </w:r>
    </w:p>
    <w:p>
      <w:pPr>
        <w:pStyle w:val="15"/>
        <w:spacing w:before="0" w:beforeLines="0" w:beforeAutospacing="0" w:after="0" w:afterLines="0" w:afterAutospacing="0" w:line="380" w:lineRule="exact"/>
        <w:ind w:leftChars="0" w:firstLine="0" w:firstLineChars="0"/>
        <w:textAlignment w:val="baseline"/>
        <w:rPr>
          <w:rFonts w:hint="default" w:ascii="游ゴシック" w:hAnsi="游ゴシック" w:eastAsia="游ゴシック"/>
          <w:b w:val="1"/>
          <w:sz w:val="24"/>
        </w:rPr>
      </w:pPr>
      <w:r>
        <w:rPr>
          <w:rFonts w:hint="eastAsia" w:ascii="游ゴシック" w:hAnsi="游ゴシック" w:eastAsia="游ゴシック"/>
          <w:b w:val="1"/>
          <w:sz w:val="24"/>
        </w:rPr>
        <w:t>（２）保険期間は、令和８年４月１日午前０時～令和９年４月１日午後４時です。</w:t>
      </w:r>
      <w:r>
        <w:rPr>
          <w:rFonts w:hint="eastAsia" w:ascii="游ゴシック" w:hAnsi="游ゴシック" w:eastAsia="游ゴシック"/>
          <w:b w:val="0"/>
          <w:sz w:val="22"/>
        </w:rPr>
        <w:t>　</w:t>
      </w:r>
    </w:p>
    <w:p>
      <w:pPr>
        <w:pStyle w:val="15"/>
        <w:spacing w:before="0" w:beforeLines="0" w:beforeAutospacing="0" w:after="0" w:afterLines="0" w:afterAutospacing="0" w:line="380" w:lineRule="exact"/>
        <w:ind w:leftChars="0" w:firstLine="0" w:firstLineChars="0"/>
        <w:textAlignment w:val="baseline"/>
        <w:rPr>
          <w:rFonts w:hint="default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b w:val="1"/>
          <w:sz w:val="24"/>
        </w:rPr>
        <w:t>（３）事前の加入手続は不要です（事故発生後に報告書や名簿等を提出いただき、補償対象</w:t>
      </w:r>
    </w:p>
    <w:p>
      <w:pPr>
        <w:pStyle w:val="15"/>
        <w:spacing w:before="0" w:beforeLines="0" w:beforeAutospacing="0" w:after="0" w:afterLines="0" w:afterAutospacing="0" w:line="380" w:lineRule="exact"/>
        <w:ind w:left="0" w:leftChars="0" w:firstLine="480" w:firstLineChars="200"/>
        <w:textAlignment w:val="baseline"/>
        <w:rPr>
          <w:rFonts w:hint="default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b w:val="1"/>
          <w:sz w:val="24"/>
        </w:rPr>
        <w:t>の条件に適合する場合は、補償金をお支払いします）。</w:t>
      </w:r>
    </w:p>
    <w:p>
      <w:pPr>
        <w:pStyle w:val="15"/>
        <w:spacing w:before="0" w:beforeLines="0" w:beforeAutospacing="0" w:after="0" w:afterLines="0" w:afterAutospacing="0" w:line="380" w:lineRule="exact"/>
        <w:ind w:leftChars="0" w:firstLine="0" w:firstLineChars="0"/>
        <w:textAlignment w:val="baseline"/>
        <w:rPr>
          <w:rFonts w:hint="default" w:ascii="游ゴシック" w:hAnsi="游ゴシック" w:eastAsia="游ゴシック"/>
          <w:b w:val="1"/>
          <w:sz w:val="24"/>
          <w:u w:val="single" w:color="auto"/>
        </w:rPr>
      </w:pPr>
      <w:r>
        <w:rPr>
          <w:rFonts w:hint="eastAsia" w:ascii="游ゴシック" w:hAnsi="游ゴシック" w:eastAsia="游ゴシック"/>
          <w:b w:val="1"/>
          <w:sz w:val="24"/>
        </w:rPr>
        <w:t>　</w:t>
      </w:r>
    </w:p>
    <w:p>
      <w:pPr>
        <w:pStyle w:val="15"/>
        <w:spacing w:before="0" w:beforeLines="0" w:beforeAutospacing="0" w:after="0" w:afterLines="0" w:afterAutospacing="0" w:line="380" w:lineRule="exact"/>
        <w:textAlignment w:val="baseline"/>
        <w:rPr>
          <w:rFonts w:hint="default" w:ascii="游ゴシック" w:hAnsi="游ゴシック" w:eastAsia="游ゴシック"/>
          <w:b w:val="1"/>
          <w:sz w:val="24"/>
          <w:u w:val="single" w:color="auto"/>
        </w:rPr>
      </w:pPr>
      <w:r>
        <w:rPr>
          <w:rFonts w:hint="eastAsia" w:ascii="游ゴシック" w:hAnsi="游ゴシック" w:eastAsia="游ゴシック"/>
          <w:b w:val="1"/>
          <w:sz w:val="24"/>
          <w:u w:val="single" w:color="auto"/>
        </w:rPr>
        <w:t>２　対象となる活動、対象者</w:t>
      </w:r>
      <w:bookmarkStart w:id="0" w:name="_GoBack"/>
      <w:bookmarkEnd w:id="0"/>
    </w:p>
    <w:tbl>
      <w:tblPr>
        <w:tblStyle w:val="2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9895"/>
      </w:tblGrid>
      <w:tr>
        <w:trPr>
          <w:trHeight w:val="380" w:hRule="atLeast"/>
        </w:trPr>
        <w:tc>
          <w:tcPr>
            <w:tcW w:w="989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top"/>
          </w:tcPr>
          <w:p>
            <w:pPr>
              <w:pStyle w:val="15"/>
              <w:spacing w:before="0" w:beforeLines="0" w:beforeAutospacing="0" w:after="0" w:afterLines="0" w:afterAutospacing="0" w:line="420" w:lineRule="exact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（１）対象となる活動</w:t>
            </w:r>
          </w:p>
        </w:tc>
      </w:tr>
      <w:tr>
        <w:trPr>
          <w:trHeight w:val="850" w:hRule="atLeast"/>
        </w:trPr>
        <w:tc>
          <w:tcPr>
            <w:tcW w:w="9895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15"/>
              <w:spacing w:before="0" w:beforeLines="0" w:beforeAutospacing="0" w:after="0" w:afterLines="0" w:afterAutospacing="0" w:line="420" w:lineRule="exact"/>
              <w:ind w:firstLine="240" w:firstLineChars="1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sz w:val="24"/>
              </w:rPr>
              <w:t>　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  <w:bdr w:val="single" w:color="auto" w:sz="4" w:space="0"/>
              </w:rPr>
              <w:t>公共的活動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：精華町内において、本来の職場を離れて自発的に行われる公共性のある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firstLine="1920" w:firstLineChars="8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活動であって、次の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  <w:u w:val="wave" w:color="auto"/>
              </w:rPr>
              <w:t>いずれにも該当する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もの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firstLine="48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①計画的かつ継続的な活動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firstLine="48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②無報酬の活動</w:t>
            </w:r>
            <w:r>
              <w:rPr>
                <w:rStyle w:val="16"/>
                <w:rFonts w:hint="eastAsia" w:ascii="游ゴシック" w:hAnsi="游ゴシック" w:eastAsia="游ゴシック"/>
                <w:b w:val="0"/>
                <w:sz w:val="22"/>
              </w:rPr>
              <w:t>※実費弁償に相当するものは無報酬とみなします。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firstLine="48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③政治・宗教・営利を目的としない活動</w:t>
            </w:r>
            <w:r>
              <w:rPr>
                <w:rStyle w:val="16"/>
                <w:rFonts w:hint="eastAsia" w:ascii="游ゴシック" w:hAnsi="游ゴシック" w:eastAsia="游ゴシック"/>
                <w:b w:val="0"/>
                <w:sz w:val="22"/>
              </w:rPr>
              <w:t>※寺社で行う祭り等は宗教行事とみなします。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firstLine="48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④日帰りの活動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firstLine="48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⑤構成員等の自己啓発、技術向上、競技、趣味、親睦等を主目的としない活動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firstLine="48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　</w:t>
            </w:r>
            <w:r>
              <w:rPr>
                <w:rStyle w:val="16"/>
                <w:rFonts w:hint="eastAsia" w:ascii="游ゴシック" w:hAnsi="游ゴシック" w:eastAsia="游ゴシック"/>
                <w:b w:val="0"/>
                <w:sz w:val="22"/>
              </w:rPr>
              <w:t>※スポーツ活動や、団体内部の親睦会、麻雀等の趣味性の強い活動は、補償対象外です。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firstLine="48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⑥学校・幼稚園・保育所の行事ではない活動</w:t>
            </w:r>
            <w:r>
              <w:rPr>
                <w:rStyle w:val="16"/>
                <w:rFonts w:hint="eastAsia" w:ascii="游ゴシック" w:hAnsi="游ゴシック" w:eastAsia="游ゴシック"/>
                <w:b w:val="0"/>
                <w:sz w:val="22"/>
              </w:rPr>
              <w:t>※クラブ活動は学校行事とみなします。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firstLine="48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color w:val="auto"/>
                <w:sz w:val="24"/>
              </w:rPr>
              <w:t>⑦保育を目的としない活動</w:t>
            </w:r>
          </w:p>
        </w:tc>
      </w:tr>
      <w:tr>
        <w:trPr>
          <w:trHeight w:val="380" w:hRule="atLeast"/>
        </w:trPr>
        <w:tc>
          <w:tcPr>
            <w:tcW w:w="9895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1" w:themeFillTint="33" w:themeFillShade="FF"/>
            <w:vAlign w:val="top"/>
          </w:tcPr>
          <w:p>
            <w:pPr>
              <w:pStyle w:val="15"/>
              <w:spacing w:before="0" w:beforeLines="0" w:beforeAutospacing="0" w:after="0" w:afterLines="0" w:afterAutospacing="0" w:line="420" w:lineRule="exact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（２）対象者</w:t>
            </w:r>
          </w:p>
        </w:tc>
      </w:tr>
      <w:tr>
        <w:trPr/>
        <w:tc>
          <w:tcPr>
            <w:tcW w:w="9895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15"/>
              <w:spacing w:before="0" w:beforeLines="0" w:beforeAutospacing="0" w:after="0" w:afterLines="0" w:afterAutospacing="0" w:line="420" w:lineRule="exact"/>
              <w:ind w:firstLine="240" w:firstLineChars="1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sz w:val="24"/>
              </w:rPr>
              <w:t>　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①公共的活動団体の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  <w:bdr w:val="single" w:color="auto" w:sz="4" w:space="0"/>
              </w:rPr>
              <w:t>指導者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・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  <w:bdr w:val="single" w:color="auto" w:sz="4" w:space="0"/>
              </w:rPr>
              <w:t>構成員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（町外在住者含む。）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left="0" w:leftChars="0" w:firstLine="44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sz w:val="22"/>
              </w:rPr>
              <w:t>※「公共的活動団体」の要件：①</w:t>
            </w:r>
            <w:r>
              <w:rPr>
                <w:rStyle w:val="16"/>
                <w:rFonts w:hint="eastAsia" w:ascii="游ゴシック" w:hAnsi="游ゴシック" w:eastAsia="游ゴシック"/>
                <w:sz w:val="22"/>
                <w:u w:val="wave" w:color="auto"/>
              </w:rPr>
              <w:t>３人以上</w:t>
            </w:r>
            <w:r>
              <w:rPr>
                <w:rStyle w:val="16"/>
                <w:rFonts w:hint="eastAsia" w:ascii="游ゴシック" w:hAnsi="游ゴシック" w:eastAsia="游ゴシック"/>
                <w:sz w:val="22"/>
              </w:rPr>
              <w:t>の町民（在勤・在学含む。）で構成されている。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left="0" w:leftChars="0" w:firstLine="44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sz w:val="22"/>
              </w:rPr>
              <w:t>　　　　　　　　　　　　　　②公共的活動を行うことを主目的としている。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left="0" w:leftChars="0" w:firstLine="44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②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  <w:bdr w:val="none" w:color="auto" w:sz="0" w:space="0"/>
              </w:rPr>
              <w:t>町が行う事業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4"/>
              </w:rPr>
              <w:t>であって、公共的活動に準ずるものへの参加者（町外在住者含む。）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left="0" w:leftChars="0" w:firstLine="440" w:firstLineChars="2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sz w:val="22"/>
              </w:rPr>
              <w:t>※「参加者」には、町や公共的活動団体が行うサービスを利用しているだけの者、見学者、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left="0" w:leftChars="0" w:firstLine="660" w:firstLineChars="3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sz w:val="22"/>
              </w:rPr>
              <w:t>観覧者等は含みません。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2"/>
                <w:shd w:val="clear" w:color="auto" w:fill="auto"/>
              </w:rPr>
              <w:t>⇒</w:t>
            </w:r>
            <w:r>
              <w:rPr>
                <w:rStyle w:val="16"/>
                <w:rFonts w:hint="eastAsia" w:ascii="游ゴシック" w:hAnsi="游ゴシック" w:eastAsia="游ゴシック"/>
                <w:b w:val="1"/>
                <w:sz w:val="22"/>
                <w:shd w:val="pct15" w:color="auto" w:fill="auto"/>
              </w:rPr>
              <w:t>対象外</w:t>
            </w:r>
            <w:r>
              <w:rPr>
                <w:rStyle w:val="16"/>
                <w:rFonts w:hint="eastAsia" w:ascii="游ゴシック" w:hAnsi="游ゴシック" w:eastAsia="游ゴシック"/>
                <w:sz w:val="22"/>
                <w:shd w:val="pct15" w:color="auto" w:fill="auto"/>
              </w:rPr>
              <w:t>となる例</w:t>
            </w:r>
            <w:r>
              <w:rPr>
                <w:rStyle w:val="16"/>
                <w:rFonts w:hint="eastAsia" w:ascii="游ゴシック" w:hAnsi="游ゴシック" w:eastAsia="游ゴシック"/>
                <w:sz w:val="22"/>
              </w:rPr>
              <w:t>：祭りの来場者、講演の受講者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left="0" w:leftChars="0" w:firstLine="3300" w:firstLineChars="1500"/>
              <w:textAlignment w:val="baseline"/>
              <w:rPr>
                <w:rFonts w:hint="eastAsia"/>
              </w:rPr>
            </w:pPr>
            <w:r>
              <w:rPr>
                <w:rStyle w:val="16"/>
                <w:rFonts w:hint="eastAsia" w:ascii="游ゴシック" w:hAnsi="游ゴシック" w:eastAsia="游ゴシック"/>
                <w:b w:val="1"/>
                <w:sz w:val="22"/>
                <w:shd w:val="pct15" w:color="auto" w:fill="auto"/>
              </w:rPr>
              <w:t>対象</w:t>
            </w:r>
            <w:r>
              <w:rPr>
                <w:rStyle w:val="16"/>
                <w:rFonts w:hint="eastAsia" w:ascii="游ゴシック" w:hAnsi="游ゴシック" w:eastAsia="游ゴシック"/>
                <w:sz w:val="22"/>
                <w:shd w:val="pct15" w:color="auto" w:fill="auto"/>
              </w:rPr>
              <w:t>となる例</w:t>
            </w:r>
            <w:r>
              <w:rPr>
                <w:rStyle w:val="16"/>
                <w:rFonts w:hint="eastAsia" w:ascii="游ゴシック" w:hAnsi="游ゴシック" w:eastAsia="游ゴシック"/>
                <w:sz w:val="22"/>
              </w:rPr>
              <w:t>：スクールヘルパー参加者</w:t>
            </w:r>
          </w:p>
          <w:p>
            <w:pPr>
              <w:pStyle w:val="15"/>
              <w:spacing w:before="0" w:beforeLines="0" w:beforeAutospacing="0" w:after="0" w:afterLines="0" w:afterAutospacing="0" w:line="420" w:lineRule="exact"/>
              <w:ind w:left="0" w:leftChars="0" w:firstLine="0" w:firstLineChars="0"/>
              <w:textAlignment w:val="baseline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/>
              </w:rPr>
              <w:t>　　　</w:t>
            </w:r>
            <w:r>
              <w:rPr>
                <w:rFonts w:hint="eastAsia" w:ascii="游ゴシック" w:hAnsi="游ゴシック" w:eastAsia="游ゴシック"/>
                <w:sz w:val="22"/>
              </w:rPr>
              <w:t>※イベント来場者の保険については、別途イベント保険等に加入されてください。</w:t>
            </w:r>
          </w:p>
        </w:tc>
      </w:tr>
    </w:tbl>
    <w:p>
      <w:pPr>
        <w:pStyle w:val="15"/>
        <w:spacing w:before="0" w:beforeLines="0" w:beforeAutospacing="0" w:after="0" w:afterLines="0" w:afterAutospacing="0" w:line="200" w:lineRule="exact"/>
        <w:ind w:leftChars="0" w:firstLine="0" w:firstLineChars="0"/>
        <w:textAlignment w:val="baseline"/>
        <w:rPr>
          <w:rFonts w:hint="default" w:ascii="游ゴシック" w:hAnsi="游ゴシック" w:eastAsia="游ゴシック"/>
          <w:b w:val="1"/>
          <w:sz w:val="24"/>
          <w:u w:val="single" w:color="auto"/>
        </w:rPr>
      </w:pPr>
      <w:r>
        <w:rPr>
          <w:rFonts w:hint="eastAsia"/>
        </w:rPr>
        <w:drawing>
          <wp:anchor distT="0" distB="0" distL="203200" distR="203200" simplePos="0" relativeHeight="4" behindDoc="0" locked="0" layoutInCell="1" hidden="0" allowOverlap="1">
            <wp:simplePos x="0" y="0"/>
            <wp:positionH relativeFrom="column">
              <wp:posOffset>-290195</wp:posOffset>
            </wp:positionH>
            <wp:positionV relativeFrom="paragraph">
              <wp:posOffset>-90170</wp:posOffset>
            </wp:positionV>
            <wp:extent cx="1931035" cy="1685925"/>
            <wp:effectExtent l="0" t="0" r="0" b="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103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1168400</wp:posOffset>
                </wp:positionH>
                <wp:positionV relativeFrom="paragraph">
                  <wp:posOffset>123190</wp:posOffset>
                </wp:positionV>
                <wp:extent cx="4008120" cy="1191260"/>
                <wp:effectExtent l="635" t="635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4008120" cy="1191260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alpha val="56000"/>
                          </a:schemeClr>
                        </a:solidFill>
                        <a:ln w="38100" cap="flat" cmpd="sng" algn="ctr">
                          <a:noFill/>
                          <a:prstDash val="sysDash"/>
                          <a:miter lim="800000"/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オブジェクト 0" style="mso-wrap-distance-right:16pt;mso-wrap-distance-bottom:0pt;margin-top:9.69pt;mso-position-vertical-relative:text;mso-position-horizontal-relative:text;position:absolute;height:93.8pt;mso-wrap-distance-top:0pt;width:315.60000000000002pt;mso-wrap-distance-left:16pt;margin-left:92pt;z-index:2;" o:spid="_x0000_s1027" o:allowincell="t" o:allowoverlap="t" filled="t" fillcolor="#ffc000" stroked="f" strokecolor="#32528f" strokeweight="3pt" o:spt="176" type="#_x0000_t176" adj="2700">
                <v:fill opacity="36700f"/>
                <v:stroke linestyle="single" miterlimit="8" endcap="flat" dashstyle="shortdash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15"/>
        <w:spacing w:before="0" w:beforeLines="0" w:beforeAutospacing="0" w:after="0" w:afterLines="0" w:afterAutospacing="0" w:line="380" w:lineRule="exact"/>
        <w:ind w:left="0" w:leftChars="0" w:firstLine="2400" w:firstLineChars="1000"/>
        <w:textAlignment w:val="baseline"/>
        <w:rPr>
          <w:rFonts w:hint="eastAsia" w:ascii="游ゴシック" w:hAnsi="游ゴシック" w:eastAsia="游ゴシック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" behindDoc="0" locked="0" layoutInCell="1" hidden="0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209550</wp:posOffset>
                </wp:positionV>
                <wp:extent cx="2682240" cy="807720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2682240" cy="80772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380" w:lineRule="exact"/>
                              <w:rPr>
                                <w:rFonts w:hint="eastAsia" w:ascii="游ゴシック" w:hAnsi="游ゴシック" w:eastAsia="游ゴシック"/>
                                <w:b w:val="1"/>
                                <w:sz w:val="28"/>
                              </w:rPr>
                            </w:pPr>
                            <w:r>
                              <w:rPr>
                                <w:rFonts w:hint="eastAsia" w:ascii="游ゴシック" w:hAnsi="游ゴシック" w:eastAsia="游ゴシック"/>
                                <w:b w:val="1"/>
                                <w:sz w:val="28"/>
                              </w:rPr>
                              <w:t>対象となる活動の例や</w:t>
                            </w:r>
                          </w:p>
                          <w:p>
                            <w:pPr>
                              <w:pStyle w:val="0"/>
                              <w:spacing w:line="380" w:lineRule="exact"/>
                              <w:rPr>
                                <w:rFonts w:hint="eastAsia" w:ascii="游ゴシック" w:hAnsi="游ゴシック" w:eastAsia="游ゴシック"/>
                                <w:b w:val="1"/>
                                <w:sz w:val="28"/>
                              </w:rPr>
                            </w:pPr>
                            <w:r>
                              <w:rPr>
                                <w:rFonts w:hint="eastAsia" w:ascii="游ゴシック" w:hAnsi="游ゴシック" w:eastAsia="游ゴシック"/>
                                <w:b w:val="1"/>
                                <w:sz w:val="28"/>
                              </w:rPr>
                              <w:t>制度の詳細については、</w:t>
                            </w:r>
                          </w:p>
                          <w:p>
                            <w:pPr>
                              <w:pStyle w:val="0"/>
                              <w:spacing w:line="38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游ゴシック" w:hAnsi="游ゴシック" w:eastAsia="游ゴシック"/>
                                <w:b w:val="1"/>
                                <w:sz w:val="28"/>
                              </w:rPr>
                              <w:t>要綱と</w:t>
                            </w:r>
                            <w:r>
                              <w:rPr>
                                <w:rFonts w:hint="eastAsia" w:ascii="游ゴシック" w:hAnsi="游ゴシック" w:eastAsia="游ゴシック"/>
                                <w:b w:val="1"/>
                                <w:sz w:val="28"/>
                              </w:rPr>
                              <w:t>Q</w:t>
                            </w:r>
                            <w:r>
                              <w:rPr>
                                <w:rFonts w:hint="eastAsia" w:ascii="游ゴシック" w:hAnsi="游ゴシック" w:eastAsia="游ゴシック"/>
                                <w:b w:val="1"/>
                                <w:sz w:val="28"/>
                              </w:rPr>
                              <w:t>＆</w:t>
                            </w:r>
                            <w:r>
                              <w:rPr>
                                <w:rFonts w:hint="eastAsia" w:ascii="游ゴシック" w:hAnsi="游ゴシック" w:eastAsia="游ゴシック"/>
                                <w:b w:val="1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hint="eastAsia" w:ascii="游ゴシック" w:hAnsi="游ゴシック" w:eastAsia="游ゴシック"/>
                                <w:b w:val="1"/>
                                <w:sz w:val="28"/>
                              </w:rPr>
                              <w:t>をご覧ください！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16.5pt;mso-position-vertical-relative:text;mso-position-horizontal-relative:text;position:absolute;height:63.6pt;mso-wrap-distance-top:0pt;width:211.2pt;mso-wrap-distance-left:16pt;margin-left:188.6pt;z-index:5;" o:spid="_x0000_s1028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380" w:lineRule="exact"/>
                        <w:rPr>
                          <w:rFonts w:hint="eastAsia" w:ascii="游ゴシック" w:hAnsi="游ゴシック" w:eastAsia="游ゴシック"/>
                          <w:b w:val="1"/>
                          <w:sz w:val="28"/>
                        </w:rPr>
                      </w:pPr>
                      <w:r>
                        <w:rPr>
                          <w:rFonts w:hint="eastAsia" w:ascii="游ゴシック" w:hAnsi="游ゴシック" w:eastAsia="游ゴシック"/>
                          <w:b w:val="1"/>
                          <w:sz w:val="28"/>
                        </w:rPr>
                        <w:t>対象となる活動の例や</w:t>
                      </w:r>
                    </w:p>
                    <w:p>
                      <w:pPr>
                        <w:pStyle w:val="0"/>
                        <w:spacing w:line="380" w:lineRule="exact"/>
                        <w:rPr>
                          <w:rFonts w:hint="eastAsia" w:ascii="游ゴシック" w:hAnsi="游ゴシック" w:eastAsia="游ゴシック"/>
                          <w:b w:val="1"/>
                          <w:sz w:val="28"/>
                        </w:rPr>
                      </w:pPr>
                      <w:r>
                        <w:rPr>
                          <w:rFonts w:hint="eastAsia" w:ascii="游ゴシック" w:hAnsi="游ゴシック" w:eastAsia="游ゴシック"/>
                          <w:b w:val="1"/>
                          <w:sz w:val="28"/>
                        </w:rPr>
                        <w:t>制度の詳細については、</w:t>
                      </w:r>
                    </w:p>
                    <w:p>
                      <w:pPr>
                        <w:pStyle w:val="0"/>
                        <w:spacing w:line="38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 w:ascii="游ゴシック" w:hAnsi="游ゴシック" w:eastAsia="游ゴシック"/>
                          <w:b w:val="1"/>
                          <w:sz w:val="28"/>
                        </w:rPr>
                        <w:t>要綱と</w:t>
                      </w:r>
                      <w:r>
                        <w:rPr>
                          <w:rFonts w:hint="eastAsia" w:ascii="游ゴシック" w:hAnsi="游ゴシック" w:eastAsia="游ゴシック"/>
                          <w:b w:val="1"/>
                          <w:sz w:val="28"/>
                        </w:rPr>
                        <w:t>Q</w:t>
                      </w:r>
                      <w:r>
                        <w:rPr>
                          <w:rFonts w:hint="eastAsia" w:ascii="游ゴシック" w:hAnsi="游ゴシック" w:eastAsia="游ゴシック"/>
                          <w:b w:val="1"/>
                          <w:sz w:val="28"/>
                        </w:rPr>
                        <w:t>＆</w:t>
                      </w:r>
                      <w:r>
                        <w:rPr>
                          <w:rFonts w:hint="eastAsia" w:ascii="游ゴシック" w:hAnsi="游ゴシック" w:eastAsia="游ゴシック"/>
                          <w:b w:val="1"/>
                          <w:sz w:val="28"/>
                        </w:rPr>
                        <w:t>A</w:t>
                      </w:r>
                      <w:r>
                        <w:rPr>
                          <w:rFonts w:hint="eastAsia" w:ascii="游ゴシック" w:hAnsi="游ゴシック" w:eastAsia="游ゴシック"/>
                          <w:b w:val="1"/>
                          <w:sz w:val="28"/>
                        </w:rPr>
                        <w:t>をご覧ください！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6" behindDoc="0" locked="0" layoutInCell="1" hidden="0" allowOverlap="1">
            <wp:simplePos x="0" y="0"/>
            <wp:positionH relativeFrom="column">
              <wp:posOffset>1348740</wp:posOffset>
            </wp:positionH>
            <wp:positionV relativeFrom="paragraph">
              <wp:posOffset>102870</wp:posOffset>
            </wp:positionV>
            <wp:extent cx="914400" cy="914400"/>
            <wp:effectExtent l="0" t="0" r="0" b="0"/>
            <wp:wrapNone/>
            <wp:docPr id="1029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5"/>
        <w:spacing w:before="0" w:beforeLines="0" w:beforeAutospacing="0" w:after="0" w:afterLines="0" w:afterAutospacing="0" w:line="380" w:lineRule="exact"/>
        <w:ind w:left="0" w:leftChars="0" w:firstLine="2400" w:firstLineChars="1000"/>
        <w:textAlignment w:val="baseline"/>
        <w:rPr>
          <w:rFonts w:hint="eastAsia" w:ascii="游ゴシック" w:hAnsi="游ゴシック" w:eastAsia="游ゴシック"/>
          <w:sz w:val="24"/>
        </w:rPr>
      </w:pPr>
    </w:p>
    <w:p>
      <w:pPr>
        <w:pStyle w:val="15"/>
        <w:spacing w:before="0" w:beforeLines="0" w:beforeAutospacing="0" w:after="0" w:afterLines="0" w:afterAutospacing="0" w:line="380" w:lineRule="exact"/>
        <w:ind w:leftChars="0" w:firstLine="0" w:firstLineChars="0"/>
        <w:textAlignment w:val="baseline"/>
        <w:rPr>
          <w:rFonts w:hint="eastAsia" w:ascii="游ゴシック" w:hAnsi="游ゴシック" w:eastAsia="游ゴシック"/>
          <w:sz w:val="24"/>
        </w:rPr>
      </w:pPr>
    </w:p>
    <w:p>
      <w:pPr>
        <w:pStyle w:val="15"/>
        <w:spacing w:before="0" w:beforeLines="0" w:beforeAutospacing="0" w:after="0" w:afterLines="0" w:afterAutospacing="0" w:line="380" w:lineRule="exact"/>
        <w:ind w:leftChars="0" w:firstLine="0" w:firstLineChars="0"/>
        <w:textAlignment w:val="baseline"/>
        <w:rPr>
          <w:rFonts w:hint="eastAsia" w:ascii="游ゴシック" w:hAnsi="游ゴシック" w:eastAsia="游ゴシック"/>
          <w:sz w:val="24"/>
        </w:rPr>
      </w:pPr>
    </w:p>
    <w:p>
      <w:pPr>
        <w:pStyle w:val="15"/>
        <w:spacing w:before="0" w:beforeLines="0" w:beforeAutospacing="0" w:after="0" w:afterLines="0" w:afterAutospacing="0" w:line="380" w:lineRule="exact"/>
        <w:ind w:leftChars="0" w:firstLine="0" w:firstLineChars="0"/>
        <w:textAlignment w:val="baseline"/>
        <w:rPr>
          <w:rFonts w:hint="eastAsia" w:ascii="游ゴシック" w:hAnsi="游ゴシック" w:eastAsia="游ゴシック"/>
          <w:sz w:val="24"/>
        </w:rPr>
      </w:pPr>
    </w:p>
    <w:p>
      <w:pPr>
        <w:pStyle w:val="15"/>
        <w:spacing w:before="0" w:beforeLines="0" w:beforeAutospacing="0" w:after="0" w:afterLines="0" w:afterAutospacing="0" w:line="380" w:lineRule="exact"/>
        <w:ind w:leftChars="0" w:firstLine="0" w:firstLineChars="0"/>
        <w:textAlignment w:val="baseline"/>
        <w:rPr>
          <w:rFonts w:hint="eastAsia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b w:val="1"/>
          <w:sz w:val="24"/>
          <w:u w:val="single" w:color="auto"/>
        </w:rPr>
        <w:t>３　補償の内容</w:t>
      </w:r>
    </w:p>
    <w:p>
      <w:pPr>
        <w:pStyle w:val="15"/>
        <w:spacing w:before="0" w:beforeLines="0" w:beforeAutospacing="0" w:after="0" w:afterLines="0" w:afterAutospacing="0" w:line="380" w:lineRule="exact"/>
        <w:ind w:left="0" w:leftChars="0" w:firstLine="0" w:firstLineChars="0"/>
        <w:textAlignment w:val="baseline"/>
        <w:rPr>
          <w:rFonts w:hint="eastAsia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b w:val="1"/>
          <w:sz w:val="24"/>
        </w:rPr>
        <w:t>（１）賠償責任補償</w:t>
      </w:r>
    </w:p>
    <w:p>
      <w:pPr>
        <w:pStyle w:val="15"/>
        <w:spacing w:before="0" w:beforeLines="0" w:beforeAutospacing="0" w:after="0" w:afterLines="0" w:afterAutospacing="0" w:line="380" w:lineRule="exact"/>
        <w:ind w:left="0" w:leftChars="0" w:firstLine="240" w:firstLineChars="100"/>
        <w:textAlignment w:val="baseline"/>
        <w:rPr>
          <w:rFonts w:hint="eastAsia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sz w:val="24"/>
        </w:rPr>
        <w:t>公共的活動中の不測の事故により、第三者の生命、身体又は財物等に損害を与え法律上の賠償責任を負った場合、以下の補償をします。</w:t>
      </w:r>
    </w:p>
    <w:tbl>
      <w:tblPr>
        <w:tblStyle w:val="26"/>
        <w:tblW w:w="0" w:type="auto"/>
        <w:tblInd w:w="175" w:type="dxa"/>
        <w:tblLayout w:type="fixed"/>
        <w:tblLook w:firstRow="1" w:lastRow="0" w:firstColumn="1" w:lastColumn="0" w:noHBand="0" w:noVBand="1" w:val="04A0"/>
      </w:tblPr>
      <w:tblGrid>
        <w:gridCol w:w="2160"/>
        <w:gridCol w:w="4241"/>
        <w:gridCol w:w="3288"/>
      </w:tblGrid>
      <w:tr>
        <w:trPr/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補償の種類</w:t>
            </w:r>
          </w:p>
        </w:tc>
        <w:tc>
          <w:tcPr>
            <w:tcW w:w="4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1" w:themeFillTint="33" w:themeFillShade="FF"/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補償限度額</w:t>
            </w:r>
          </w:p>
        </w:tc>
        <w:tc>
          <w:tcPr>
            <w:tcW w:w="3288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免責額（自己負担額）</w:t>
            </w:r>
          </w:p>
        </w:tc>
      </w:tr>
      <w:tr>
        <w:trPr>
          <w:trHeight w:val="76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対人賠償</w:t>
            </w:r>
          </w:p>
        </w:tc>
        <w:tc>
          <w:tcPr>
            <w:tcW w:w="4241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１名　　５，０００万円</w:t>
            </w:r>
          </w:p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１事故　１億円</w:t>
            </w:r>
          </w:p>
        </w:tc>
        <w:tc>
          <w:tcPr>
            <w:tcW w:w="3288" w:type="dxa"/>
            <w:vMerge w:val="restart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１事故　１万円</w:t>
            </w:r>
          </w:p>
        </w:tc>
      </w:tr>
      <w:tr>
        <w:trPr/>
        <w:tc>
          <w:tcPr>
            <w:tcW w:w="2160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対物賠償</w:t>
            </w:r>
          </w:p>
        </w:tc>
        <w:tc>
          <w:tcPr>
            <w:tcW w:w="4241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１事故　５００万円</w:t>
            </w:r>
          </w:p>
        </w:tc>
        <w:tc>
          <w:tcPr>
            <w:tcW w:w="3288" w:type="dxa"/>
            <w:vMerge w:val="continue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4"/>
              </w:rPr>
            </w:pPr>
          </w:p>
        </w:tc>
      </w:tr>
      <w:tr>
        <w:trPr/>
        <w:tc>
          <w:tcPr>
            <w:tcW w:w="2160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受託物賠償</w:t>
            </w:r>
          </w:p>
        </w:tc>
        <w:tc>
          <w:tcPr>
            <w:tcW w:w="4241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１事故　３００万円</w:t>
            </w:r>
          </w:p>
        </w:tc>
        <w:tc>
          <w:tcPr>
            <w:tcW w:w="3288" w:type="dxa"/>
            <w:vMerge w:val="continue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4"/>
              </w:rPr>
            </w:pPr>
          </w:p>
        </w:tc>
      </w:tr>
    </w:tbl>
    <w:p>
      <w:pPr>
        <w:pStyle w:val="15"/>
        <w:spacing w:before="0" w:beforeLines="0" w:beforeAutospacing="0" w:after="0" w:afterLines="0" w:afterAutospacing="0" w:line="380" w:lineRule="exact"/>
        <w:ind w:leftChars="0" w:firstLineChars="0"/>
        <w:textAlignment w:val="baseline"/>
        <w:rPr>
          <w:rFonts w:hint="eastAsia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b w:val="1"/>
          <w:sz w:val="24"/>
        </w:rPr>
        <w:t>（２）傷害補償</w:t>
      </w:r>
    </w:p>
    <w:p>
      <w:pPr>
        <w:pStyle w:val="15"/>
        <w:spacing w:before="0" w:beforeLines="0" w:beforeAutospacing="0" w:after="0" w:afterLines="0" w:afterAutospacing="0" w:line="380" w:lineRule="exact"/>
        <w:ind w:leftChars="0" w:firstLineChars="0"/>
        <w:textAlignment w:val="baseline"/>
        <w:rPr>
          <w:rFonts w:hint="eastAsia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sz w:val="24"/>
        </w:rPr>
        <w:t>　公共的活動中（活動場所と自宅との通常経路における往復途上を含む。）の急激かつ偶然な外来の事故又は熱中症や食中毒で、対象者が死亡し、又は負傷した場合、以下の補償をします。</w:t>
      </w:r>
    </w:p>
    <w:tbl>
      <w:tblPr>
        <w:tblStyle w:val="26"/>
        <w:tblW w:w="9583" w:type="dxa"/>
        <w:tblInd w:w="175" w:type="dxa"/>
        <w:tblLayout w:type="fixed"/>
        <w:tblLook w:firstRow="1" w:lastRow="0" w:firstColumn="1" w:lastColumn="0" w:noHBand="0" w:noVBand="1" w:val="04A0"/>
      </w:tblPr>
      <w:tblGrid>
        <w:gridCol w:w="2024"/>
        <w:gridCol w:w="3959"/>
        <w:gridCol w:w="3600"/>
      </w:tblGrid>
      <w:tr>
        <w:trPr/>
        <w:tc>
          <w:tcPr>
            <w:tcW w:w="202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補償の種類</w:t>
            </w:r>
          </w:p>
        </w:tc>
        <w:tc>
          <w:tcPr>
            <w:tcW w:w="3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1" w:themeFillTint="33" w:themeFillShade="FF"/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支給事由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1" w:themeFillTint="33" w:themeFillShade="FF"/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補償額</w:t>
            </w:r>
          </w:p>
        </w:tc>
      </w:tr>
      <w:tr>
        <w:trPr>
          <w:trHeight w:val="760" w:hRule="atLeast"/>
        </w:trPr>
        <w:tc>
          <w:tcPr>
            <w:tcW w:w="2024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死亡補償</w:t>
            </w:r>
          </w:p>
        </w:tc>
        <w:tc>
          <w:tcPr>
            <w:tcW w:w="3959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傷害により、事故日から１８０日以内に死亡したとき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３００万円</w:t>
            </w:r>
          </w:p>
        </w:tc>
      </w:tr>
      <w:tr>
        <w:trPr/>
        <w:tc>
          <w:tcPr>
            <w:tcW w:w="2024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後遺障がい補償</w:t>
            </w:r>
          </w:p>
        </w:tc>
        <w:tc>
          <w:tcPr>
            <w:tcW w:w="395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傷害により、事故日から１８０日以内に後遺障がいが生じたとき</w:t>
            </w:r>
          </w:p>
        </w:tc>
        <w:tc>
          <w:tcPr>
            <w:tcW w:w="3600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９～３００万円</w:t>
            </w:r>
          </w:p>
        </w:tc>
      </w:tr>
      <w:tr>
        <w:trPr/>
        <w:tc>
          <w:tcPr>
            <w:tcW w:w="2024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入院補償</w:t>
            </w:r>
          </w:p>
        </w:tc>
        <w:tc>
          <w:tcPr>
            <w:tcW w:w="395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傷害により、平常の業務・生活ができなくなり、入院したとき</w:t>
            </w:r>
          </w:p>
        </w:tc>
        <w:tc>
          <w:tcPr>
            <w:tcW w:w="3600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日額３，０００円（事故日から１８０日以内）</w:t>
            </w:r>
          </w:p>
        </w:tc>
      </w:tr>
      <w:tr>
        <w:trPr/>
        <w:tc>
          <w:tcPr>
            <w:tcW w:w="2024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通院賠償</w:t>
            </w:r>
          </w:p>
        </w:tc>
        <w:tc>
          <w:tcPr>
            <w:tcW w:w="3959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傷害により、平常の業務・生活に支障が生じ、通院したとき</w:t>
            </w:r>
          </w:p>
        </w:tc>
        <w:tc>
          <w:tcPr>
            <w:tcW w:w="3600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 w:ascii="游ゴシック" w:hAnsi="游ゴシック" w:eastAsia="游ゴシック"/>
                <w:sz w:val="24"/>
              </w:rPr>
              <w:t>日額２，０００円（事故日から１８０日までの間において９０日以内）</w:t>
            </w:r>
          </w:p>
        </w:tc>
      </w:tr>
    </w:tbl>
    <w:tbl>
      <w:tblPr>
        <w:tblStyle w:val="26"/>
        <w:tblpPr w:leftFromText="0" w:rightFromText="0" w:topFromText="0" w:bottomFromText="0" w:vertAnchor="text" w:horzAnchor="margin" w:tblpX="181" w:tblpY="352"/>
        <w:tblOverlap w:val="never"/>
        <w:tblW w:w="0" w:type="auto"/>
        <w:tblLayout w:type="fixed"/>
        <w:tblLook w:firstRow="1" w:lastRow="0" w:firstColumn="1" w:lastColumn="0" w:noHBand="0" w:noVBand="1" w:val="04A0"/>
      </w:tblPr>
      <w:tblGrid>
        <w:gridCol w:w="9540"/>
      </w:tblGrid>
      <w:tr>
        <w:trPr>
          <w:trHeight w:val="1290" w:hRule="atLeast"/>
        </w:trPr>
        <w:tc>
          <w:tcPr>
            <w:tcW w:w="9540" w:type="dxa"/>
            <w:tcBorders>
              <w:top w:val="dashDotStroked" w:color="8497B0" w:themeColor="text2" w:themeTint="99" w:sz="24" w:space="0"/>
              <w:left w:val="dashDotStroked" w:color="8497B0" w:themeColor="text2" w:themeTint="99" w:sz="24" w:space="0"/>
              <w:bottom w:val="dashDotStroked" w:color="8497B0" w:themeColor="text2" w:themeTint="99" w:sz="24" w:space="0"/>
              <w:right w:val="dashDotStroked" w:color="8497B0" w:themeColor="text2" w:themeTint="99" w:sz="24" w:space="0"/>
              <w:tl2br w:val="nil"/>
              <w:tr2bl w:val="nil"/>
            </w:tcBorders>
            <w:vAlign w:val="top"/>
          </w:tcPr>
          <w:p>
            <w:pPr>
              <w:pStyle w:val="15"/>
              <w:spacing w:before="0" w:beforeLines="0" w:beforeAutospacing="0" w:after="0" w:afterLines="0" w:afterAutospacing="0" w:line="380" w:lineRule="exact"/>
              <w:ind w:left="0" w:leftChars="0" w:firstLine="1680" w:firstLineChars="700"/>
              <w:textAlignment w:val="baseline"/>
              <w:rPr>
                <w:rFonts w:hint="eastAsia"/>
                <w:u w:val="thick" w:color="auto"/>
              </w:rPr>
            </w:pPr>
            <w:r>
              <w:rPr>
                <w:rFonts w:hint="eastAsia"/>
              </w:rPr>
              <w:drawing>
                <wp:anchor distT="0" distB="0" distL="203200" distR="203200" simplePos="0" relativeHeight="3" behindDoc="0" locked="0" layoutInCell="1" hidden="0" allowOverlap="1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125730</wp:posOffset>
                  </wp:positionV>
                  <wp:extent cx="525780" cy="525780"/>
                  <wp:effectExtent l="0" t="0" r="0" b="0"/>
                  <wp:wrapNone/>
                  <wp:docPr id="1030" name="オブジェクト 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游ゴシック" w:hAnsi="游ゴシック" w:eastAsia="游ゴシック"/>
                <w:sz w:val="24"/>
                <w:u w:val="thick" w:color="auto"/>
              </w:rPr>
              <w:t>対象者の故意・重大な過失がある場合、山岳登はんやチェーンソーの</w:t>
            </w:r>
          </w:p>
          <w:p>
            <w:pPr>
              <w:pStyle w:val="15"/>
              <w:spacing w:before="0" w:beforeLines="0" w:beforeAutospacing="0" w:after="0" w:afterLines="0" w:afterAutospacing="0" w:line="380" w:lineRule="exact"/>
              <w:ind w:left="0" w:leftChars="0" w:firstLine="1440" w:firstLineChars="600"/>
              <w:textAlignment w:val="baseline"/>
              <w:rPr>
                <w:rFonts w:hint="eastAsia"/>
                <w:u w:val="thick" w:color="auto"/>
              </w:rPr>
            </w:pPr>
            <w:r>
              <w:rPr>
                <w:rFonts w:hint="eastAsia" w:ascii="游ゴシック" w:hAnsi="游ゴシック" w:eastAsia="游ゴシック"/>
                <w:sz w:val="24"/>
                <w:u w:val="thick" w:color="auto"/>
              </w:rPr>
              <w:t>利用等の危険な活動を行う場合等、補償の対象にならないことがありま</w:t>
            </w:r>
          </w:p>
          <w:p>
            <w:pPr>
              <w:pStyle w:val="15"/>
              <w:spacing w:before="0" w:beforeLines="0" w:beforeAutospacing="0" w:after="0" w:afterLines="0" w:afterAutospacing="0" w:line="380" w:lineRule="exact"/>
              <w:ind w:left="0" w:leftChars="0" w:firstLine="1440" w:firstLineChars="600"/>
              <w:textAlignment w:val="baseline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sz w:val="24"/>
                <w:u w:val="thick" w:color="auto"/>
              </w:rPr>
              <w:t>す。</w:t>
            </w:r>
            <w:r>
              <w:rPr>
                <w:rFonts w:hint="eastAsia" w:ascii="游ゴシック" w:hAnsi="游ゴシック" w:eastAsia="游ゴシック"/>
                <w:sz w:val="24"/>
              </w:rPr>
              <w:t>詳しくは、</w:t>
            </w:r>
            <w:r>
              <w:rPr>
                <w:rFonts w:hint="eastAsia" w:ascii="游ゴシック" w:hAnsi="游ゴシック" w:eastAsia="游ゴシック"/>
                <w:sz w:val="24"/>
                <w:shd w:val="clear" w:color="auto" w:fill="auto"/>
              </w:rPr>
              <w:t>要綱と</w:t>
            </w:r>
            <w:r>
              <w:rPr>
                <w:rFonts w:hint="eastAsia" w:ascii="游ゴシック" w:hAnsi="游ゴシック" w:eastAsia="游ゴシック"/>
                <w:sz w:val="24"/>
                <w:shd w:val="clear" w:color="auto" w:fill="auto"/>
              </w:rPr>
              <w:t>Q</w:t>
            </w:r>
            <w:r>
              <w:rPr>
                <w:rFonts w:hint="eastAsia" w:ascii="游ゴシック" w:hAnsi="游ゴシック" w:eastAsia="游ゴシック"/>
                <w:sz w:val="24"/>
                <w:shd w:val="clear" w:color="auto" w:fill="auto"/>
              </w:rPr>
              <w:t>＆</w:t>
            </w:r>
            <w:r>
              <w:rPr>
                <w:rFonts w:hint="eastAsia" w:ascii="游ゴシック" w:hAnsi="游ゴシック" w:eastAsia="游ゴシック"/>
                <w:sz w:val="24"/>
                <w:shd w:val="clear" w:color="auto" w:fill="auto"/>
              </w:rPr>
              <w:t>A</w:t>
            </w:r>
            <w:r>
              <w:rPr>
                <w:rFonts w:hint="eastAsia" w:ascii="游ゴシック" w:hAnsi="游ゴシック" w:eastAsia="游ゴシック"/>
                <w:sz w:val="24"/>
              </w:rPr>
              <w:t>をご覧ください。</w:t>
            </w:r>
          </w:p>
        </w:tc>
      </w:tr>
    </w:tbl>
    <w:p>
      <w:pPr>
        <w:pStyle w:val="15"/>
        <w:spacing w:before="0" w:beforeLines="0" w:beforeAutospacing="0" w:after="0" w:afterLines="0" w:afterAutospacing="0" w:line="380" w:lineRule="exact"/>
        <w:ind w:leftChars="0" w:firstLineChars="0"/>
        <w:textAlignment w:val="baseline"/>
        <w:rPr>
          <w:rFonts w:hint="eastAsia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sz w:val="24"/>
        </w:rPr>
        <w:t>　</w:t>
      </w:r>
    </w:p>
    <w:p>
      <w:pPr>
        <w:pStyle w:val="15"/>
        <w:spacing w:before="0" w:beforeLines="0" w:beforeAutospacing="0" w:after="0" w:afterLines="0" w:afterAutospacing="0" w:line="380" w:lineRule="exact"/>
        <w:ind w:leftChars="0" w:firstLineChars="0"/>
        <w:textAlignment w:val="baseline"/>
        <w:rPr>
          <w:rFonts w:hint="eastAsia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b w:val="1"/>
          <w:sz w:val="24"/>
          <w:u w:val="single" w:color="auto"/>
        </w:rPr>
        <w:t>４　補償金請求の流れ</w:t>
      </w:r>
    </w:p>
    <w:tbl>
      <w:tblPr>
        <w:tblStyle w:val="26"/>
        <w:tblpPr w:leftFromText="0" w:rightFromText="0" w:topFromText="0" w:bottomFromText="0" w:vertAnchor="text" w:horzAnchor="margin" w:tblpX="181" w:tblpY="1560"/>
        <w:tblOverlap w:val="never"/>
        <w:tblW w:w="0" w:type="auto"/>
        <w:tblLayout w:type="fixed"/>
        <w:tblLook w:firstRow="1" w:lastRow="0" w:firstColumn="1" w:lastColumn="0" w:noHBand="0" w:noVBand="1" w:val="04A0"/>
      </w:tblPr>
      <w:tblGrid>
        <w:gridCol w:w="9866"/>
      </w:tblGrid>
      <w:tr>
        <w:trPr/>
        <w:tc>
          <w:tcPr>
            <w:tcW w:w="9866" w:type="dxa"/>
            <w:tcBorders>
              <w:top w:val="threeDEmboss" w:color="auto" w:sz="12" w:space="0"/>
              <w:left w:val="threeDEmboss" w:color="auto" w:sz="12" w:space="0"/>
              <w:bottom w:val="threeDEmboss" w:color="auto" w:sz="12" w:space="0"/>
              <w:right w:val="threeDEmboss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0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問合せ先</w:t>
            </w:r>
          </w:p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0"/>
                <w:sz w:val="24"/>
              </w:rPr>
            </w:pPr>
            <w:r>
              <w:rPr>
                <w:rFonts w:hint="eastAsia" w:ascii="游ゴシック" w:hAnsi="游ゴシック" w:eastAsia="游ゴシック"/>
                <w:b w:val="0"/>
                <w:sz w:val="24"/>
                <w:shd w:val="clear" w:color="auto" w:fill="auto"/>
              </w:rPr>
              <w:t>【制度内容について</w:t>
            </w:r>
            <w:r>
              <w:rPr>
                <w:rFonts w:hint="eastAsia" w:ascii="游ゴシック" w:hAnsi="游ゴシック" w:eastAsia="游ゴシック"/>
                <w:b w:val="0"/>
                <w:sz w:val="24"/>
              </w:rPr>
              <w:t>】精華町役場　総務部自治振興課</w:t>
            </w:r>
          </w:p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0"/>
                <w:sz w:val="24"/>
              </w:rPr>
            </w:pPr>
            <w:r>
              <w:rPr>
                <w:rFonts w:hint="eastAsia" w:ascii="游ゴシック" w:hAnsi="游ゴシック" w:eastAsia="游ゴシック"/>
                <w:b w:val="0"/>
                <w:sz w:val="24"/>
              </w:rPr>
              <w:t>　　　　　　　　　　☎</w:t>
            </w:r>
            <w:r>
              <w:rPr>
                <w:rFonts w:hint="eastAsia" w:ascii="游ゴシック" w:hAnsi="游ゴシック" w:eastAsia="游ゴシック"/>
                <w:b w:val="0"/>
                <w:sz w:val="24"/>
              </w:rPr>
              <w:t xml:space="preserve"> 0774-95-1934</w:t>
            </w:r>
            <w:r>
              <w:rPr>
                <w:rFonts w:hint="eastAsia" w:ascii="游ゴシック" w:hAnsi="游ゴシック" w:eastAsia="游ゴシック"/>
                <w:b w:val="0"/>
                <w:sz w:val="24"/>
              </w:rPr>
              <w:t>（平日</w:t>
            </w:r>
            <w:r>
              <w:rPr>
                <w:rFonts w:hint="eastAsia" w:ascii="游ゴシック" w:hAnsi="游ゴシック" w:eastAsia="游ゴシック"/>
                <w:b w:val="0"/>
                <w:sz w:val="24"/>
              </w:rPr>
              <w:t>8:30-17:15</w:t>
            </w:r>
            <w:r>
              <w:rPr>
                <w:rFonts w:hint="eastAsia" w:ascii="游ゴシック" w:hAnsi="游ゴシック" w:eastAsia="游ゴシック"/>
                <w:b w:val="0"/>
                <w:sz w:val="24"/>
              </w:rPr>
              <w:t>）、✉</w:t>
            </w:r>
            <w:r>
              <w:rPr>
                <w:rFonts w:hint="eastAsia" w:ascii="游ゴシック" w:hAnsi="游ゴシック" w:eastAsia="游ゴシック"/>
                <w:b w:val="0"/>
                <w:sz w:val="24"/>
              </w:rPr>
              <w:t xml:space="preserve"> jichi@town.seika.lg.jp</w:t>
            </w:r>
          </w:p>
          <w:p>
            <w:pPr>
              <w:pStyle w:val="0"/>
              <w:spacing w:line="380" w:lineRule="exact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b w:val="0"/>
                <w:sz w:val="24"/>
                <w:shd w:val="clear" w:color="auto" w:fill="auto"/>
              </w:rPr>
              <w:t>【事故が起こったとき</w:t>
            </w:r>
            <w:r>
              <w:rPr>
                <w:rFonts w:hint="eastAsia" w:ascii="游ゴシック" w:hAnsi="游ゴシック" w:eastAsia="游ゴシック"/>
                <w:b w:val="0"/>
                <w:sz w:val="24"/>
              </w:rPr>
              <w:t>】速やかに活動の担当課へご連絡ください。</w:t>
            </w:r>
          </w:p>
          <w:p>
            <w:pPr>
              <w:pStyle w:val="0"/>
              <w:spacing w:line="140" w:lineRule="exact"/>
              <w:rPr>
                <w:rFonts w:hint="eastAsia"/>
              </w:rPr>
            </w:pPr>
          </w:p>
        </w:tc>
      </w:tr>
    </w:tbl>
    <w:tbl>
      <w:tblPr>
        <w:tblStyle w:val="26"/>
        <w:tblpPr w:leftFromText="0" w:rightFromText="0" w:topFromText="0" w:bottomFromText="0" w:vertAnchor="text" w:horzAnchor="margin" w:tblpX="226" w:tblpY="256"/>
        <w:tblOverlap w:val="never"/>
        <w:tblW w:w="9861" w:type="dxa"/>
        <w:tblLayout w:type="fixed"/>
        <w:tblLook w:firstRow="1" w:lastRow="0" w:firstColumn="1" w:lastColumn="0" w:noHBand="0" w:noVBand="1" w:val="04A0"/>
      </w:tblPr>
      <w:tblGrid>
        <w:gridCol w:w="715"/>
        <w:gridCol w:w="543"/>
        <w:gridCol w:w="1261"/>
        <w:gridCol w:w="542"/>
        <w:gridCol w:w="1436"/>
        <w:gridCol w:w="361"/>
        <w:gridCol w:w="1439"/>
        <w:gridCol w:w="539"/>
        <w:gridCol w:w="1439"/>
        <w:gridCol w:w="540"/>
        <w:gridCol w:w="1046"/>
      </w:tblGrid>
      <w:tr>
        <w:trPr/>
        <w:tc>
          <w:tcPr>
            <w:tcW w:w="7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事故</w:t>
            </w:r>
          </w:p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2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発生</w:t>
            </w:r>
          </w:p>
        </w:tc>
        <w:tc>
          <w:tcPr>
            <w:tcW w:w="54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➡</w:t>
            </w:r>
          </w:p>
        </w:tc>
        <w:tc>
          <w:tcPr>
            <w:tcW w:w="126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担当課へ</w:t>
            </w:r>
          </w:p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連絡</w:t>
            </w:r>
          </w:p>
        </w:tc>
        <w:tc>
          <w:tcPr>
            <w:tcW w:w="54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➡</w:t>
            </w:r>
          </w:p>
        </w:tc>
        <w:tc>
          <w:tcPr>
            <w:tcW w:w="143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事故報告</w:t>
            </w:r>
          </w:p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書等を提出</w:t>
            </w:r>
          </w:p>
        </w:tc>
        <w:tc>
          <w:tcPr>
            <w:tcW w:w="361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➡</w:t>
            </w:r>
          </w:p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</w:p>
        </w:tc>
        <w:tc>
          <w:tcPr>
            <w:tcW w:w="14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治療・修理</w:t>
            </w:r>
          </w:p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・示談等</w:t>
            </w:r>
          </w:p>
        </w:tc>
        <w:tc>
          <w:tcPr>
            <w:tcW w:w="5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jc w:val="center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➡</w:t>
            </w:r>
          </w:p>
        </w:tc>
        <w:tc>
          <w:tcPr>
            <w:tcW w:w="14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補償金請求</w:t>
            </w:r>
          </w:p>
          <w:p>
            <w:pPr>
              <w:pStyle w:val="0"/>
              <w:spacing w:line="380" w:lineRule="exact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書等を提出</w:t>
            </w:r>
          </w:p>
        </w:tc>
        <w:tc>
          <w:tcPr>
            <w:tcW w:w="540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jc w:val="center"/>
              <w:rPr>
                <w:rFonts w:hint="eastAsia" w:ascii="游ゴシック" w:hAnsi="游ゴシック" w:eastAsia="游ゴシック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➡</w:t>
            </w:r>
          </w:p>
        </w:tc>
        <w:tc>
          <w:tcPr>
            <w:tcW w:w="1046" w:type="dxa"/>
            <w:vAlign w:val="top"/>
          </w:tcPr>
          <w:p>
            <w:pPr>
              <w:pStyle w:val="0"/>
              <w:spacing w:line="380" w:lineRule="exact"/>
              <w:rPr>
                <w:rFonts w:hint="eastAsia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補償金</w:t>
            </w:r>
          </w:p>
          <w:p>
            <w:pPr>
              <w:pStyle w:val="0"/>
              <w:spacing w:line="380" w:lineRule="exact"/>
              <w:rPr>
                <w:rFonts w:hint="eastAsia"/>
                <w:b w:val="1"/>
                <w:sz w:val="24"/>
              </w:rPr>
            </w:pPr>
            <w:r>
              <w:rPr>
                <w:rFonts w:hint="eastAsia" w:ascii="游ゴシック" w:hAnsi="游ゴシック" w:eastAsia="游ゴシック"/>
                <w:b w:val="1"/>
                <w:sz w:val="24"/>
              </w:rPr>
              <w:t>受取り</w:t>
            </w:r>
          </w:p>
        </w:tc>
      </w:tr>
    </w:tbl>
    <w:p>
      <w:pPr>
        <w:pStyle w:val="15"/>
        <w:spacing w:before="0" w:beforeLines="0" w:beforeAutospacing="0" w:after="0" w:afterLines="0" w:afterAutospacing="0" w:line="380" w:lineRule="exact"/>
        <w:ind w:leftChars="0" w:firstLineChars="0"/>
        <w:textAlignment w:val="baseline"/>
        <w:rPr>
          <w:rFonts w:hint="eastAsia" w:ascii="游ゴシック" w:hAnsi="游ゴシック" w:eastAsia="游ゴシック"/>
          <w:b w:val="0"/>
          <w:sz w:val="24"/>
        </w:rPr>
      </w:pPr>
    </w:p>
    <w:sectPr>
      <w:headerReference r:id="rId5" w:type="default"/>
      <w:footerReference r:id="rId6" w:type="default"/>
      <w:pgSz w:w="11906" w:h="16838"/>
      <w:pgMar w:top="964" w:right="1020" w:bottom="964" w:left="1020" w:header="454" w:footer="283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游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eastAsia"/>
      </w:rPr>
      <w:alias w:val=""/>
      <w:tag w:val=""/>
      <w:lock w:val="unlocked"/>
      <w:docPartObj>
        <w:docPartGallery w:val="Page Numbers (Bottom of Page)"/>
        <w:docPartUnique/>
      </w:docPartObj>
    </w:sdtPr>
    <w:sdtEndPr>
      <w:rPr>
        <w:rFonts w:hint="eastAsia"/>
      </w:rPr>
    </w:sdtEndPr>
    <w:sdtContent>
      <w:p>
        <w:pPr>
          <w:pStyle w:val="0"/>
          <w:jc w:val="center"/>
          <w:rPr>
            <w:rFonts w:hint="eastAsia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Style w:val="24"/>
            <w:rFonts w:hint="eastAsia"/>
          </w:rPr>
          <w:t>1</w:t>
        </w:r>
        <w:r>
          <w:rPr>
            <w:rFonts w:hint="eastAsia"/>
          </w:rPr>
          <w:fldChar w:fldCharType="end"/>
        </w:r>
      </w:p>
    </w:sdtContent>
  </w:sdt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ind w:left="0" w:leftChars="0" w:firstLine="7980" w:firstLineChars="380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paragraph"/>
    <w:basedOn w:val="0"/>
    <w:next w:val="15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16" w:customStyle="1">
    <w:name w:val="normaltextrun"/>
    <w:basedOn w:val="10"/>
    <w:next w:val="16"/>
    <w:link w:val="0"/>
    <w:uiPriority w:val="0"/>
  </w:style>
  <w:style w:type="character" w:styleId="17" w:customStyle="1">
    <w:name w:val="eop"/>
    <w:basedOn w:val="10"/>
    <w:next w:val="17"/>
    <w:link w:val="0"/>
    <w:uiPriority w:val="0"/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page number"/>
    <w:basedOn w:val="10"/>
    <w:next w:val="24"/>
    <w:link w:val="0"/>
    <w:uiPriority w:val="0"/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Relationship Id="rId10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  <a:solidFill>
          <a:srgbClr val="FFE69A">
            <a:alpha val="24000"/>
          </a:srgbClr>
        </a:solidFill>
        <a:ln w="38100" cap="flat" cmpd="sng" algn="ctr">
          <a:solidFill>
            <a:schemeClr val="tx1"/>
          </a:solidFill>
          <a:prstDash val="sysDash"/>
          <a:miter lim="800000"/>
          <a:headEnd/>
          <a:tailEnd/>
        </a:ln>
      </a:spPr>
      <a:bodyPr vertOverflow="overflow" horzOverflow="overflow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6862</TotalTime>
  <Pages>2</Pages>
  <Words>13</Words>
  <Characters>1514</Characters>
  <Application>JUST Note</Application>
  <Lines>165</Lines>
  <Paragraphs>89</Paragraphs>
  <CharactersWithSpaces>1564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前川 由衣</dc:creator>
  <cp:lastModifiedBy>原田 和弥</cp:lastModifiedBy>
  <cp:lastPrinted>2025-03-21T05:52:39Z</cp:lastPrinted>
  <dcterms:created xsi:type="dcterms:W3CDTF">2024-02-16T02:47:00Z</dcterms:created>
  <dcterms:modified xsi:type="dcterms:W3CDTF">2025-03-28T07:54:12Z</dcterms:modified>
  <cp:revision>33</cp:revision>
</cp:coreProperties>
</file>